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6701"/>
      </w:tblGrid>
      <w:tr w:rsidR="00E24705" w:rsidRPr="002F295F" w:rsidTr="00DC6E5F">
        <w:tc>
          <w:tcPr>
            <w:tcW w:w="11096" w:type="dxa"/>
            <w:gridSpan w:val="3"/>
          </w:tcPr>
          <w:p w:rsidR="00E24705" w:rsidRPr="00193B36" w:rsidRDefault="00E24705">
            <w:pPr>
              <w:rPr>
                <w:rFonts w:ascii="Aptos" w:hAnsi="Aptos"/>
                <w:b/>
                <w:color w:val="4E74A2"/>
                <w:spacing w:val="80"/>
                <w:sz w:val="72"/>
                <w:szCs w:val="72"/>
              </w:rPr>
            </w:pPr>
            <w:bookmarkStart w:id="0" w:name="_GoBack"/>
            <w:bookmarkEnd w:id="0"/>
            <w:r w:rsidRPr="00193B36">
              <w:rPr>
                <w:rFonts w:ascii="Aptos" w:hAnsi="Aptos" w:cstheme="minorHAnsi"/>
                <w:b/>
                <w:color w:val="4E74A2"/>
                <w:spacing w:val="80"/>
                <w:sz w:val="72"/>
                <w:szCs w:val="72"/>
              </w:rPr>
              <w:t>Lorraine Chavez</w:t>
            </w:r>
          </w:p>
        </w:tc>
      </w:tr>
      <w:tr w:rsidR="002F295F" w:rsidRPr="002F295F" w:rsidTr="00DC6E5F">
        <w:tc>
          <w:tcPr>
            <w:tcW w:w="11096" w:type="dxa"/>
            <w:gridSpan w:val="3"/>
          </w:tcPr>
          <w:p w:rsidR="002F295F" w:rsidRPr="00193B36" w:rsidRDefault="002F295F" w:rsidP="00102413">
            <w:pPr>
              <w:pBdr>
                <w:bottom w:val="single" w:sz="8" w:space="1" w:color="4E74A2"/>
              </w:pBd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 w:rsidRPr="00193B36"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PROFESSIONAL SUMMARY</w:t>
            </w:r>
          </w:p>
          <w:p w:rsidR="002D2CFD" w:rsidRPr="00D85BB2" w:rsidRDefault="002D2CFD" w:rsidP="00D427CF">
            <w:pPr>
              <w:spacing w:after="200" w:line="276" w:lineRule="auto"/>
              <w:rPr>
                <w:rFonts w:ascii="Aptos" w:hAnsi="Aptos"/>
                <w:sz w:val="20"/>
                <w:szCs w:val="20"/>
              </w:rPr>
            </w:pPr>
            <w:r w:rsidRPr="00D85BB2">
              <w:rPr>
                <w:rFonts w:ascii="Aptos" w:hAnsi="Aptos"/>
                <w:color w:val="404040" w:themeColor="text1" w:themeTint="BF"/>
                <w:sz w:val="20"/>
                <w:szCs w:val="20"/>
              </w:rPr>
              <w:t>Compassionate and results-driven Registered Nurse with 8 years of clinical experience in acute care, critical care, and patient education. Skilled in evidence-based care, team leadership, and patient advocacy, with a proven record of improving patient recovery outcomes by 15% through quality improvement initiatives. Adept at leveraging advanced medical technologies and interdisciplinary collaboration to enhance patient satisfaction and hospital performance. Seeking to contribute expertise to a progressive healthcare facility committed to excellence.</w:t>
            </w:r>
          </w:p>
        </w:tc>
      </w:tr>
      <w:tr w:rsidR="002B2F2F" w:rsidRPr="002F295F" w:rsidTr="002A58BE">
        <w:tc>
          <w:tcPr>
            <w:tcW w:w="4111" w:type="dxa"/>
            <w:tcBorders>
              <w:top w:val="single" w:sz="8" w:space="0" w:color="4E74A2"/>
              <w:left w:val="single" w:sz="8" w:space="0" w:color="4E74A2"/>
              <w:bottom w:val="single" w:sz="8" w:space="0" w:color="4E74A2"/>
              <w:right w:val="single" w:sz="8" w:space="0" w:color="4E74A2"/>
            </w:tcBorders>
          </w:tcPr>
          <w:p w:rsidR="002B2F2F" w:rsidRPr="00193B36" w:rsidRDefault="002B2F2F" w:rsidP="00CD18A0">
            <w:pPr>
              <w:spacing w:before="1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 w:rsidRPr="00193B36"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CONTACT</w:t>
            </w:r>
          </w:p>
          <w:p w:rsidR="00BB2466" w:rsidRPr="00640544" w:rsidRDefault="00BB2466" w:rsidP="00723D41">
            <w:pPr>
              <w:spacing w:line="276" w:lineRule="auto"/>
              <w:rPr>
                <w:rFonts w:ascii="Aptos" w:hAnsi="Aptos" w:cstheme="minorHAnsi"/>
                <w:b/>
                <w:bCs/>
                <w:color w:val="4E74A2"/>
                <w:sz w:val="20"/>
                <w:szCs w:val="20"/>
              </w:rPr>
            </w:pPr>
            <w:r w:rsidRPr="00640544">
              <w:rPr>
                <w:rFonts w:ascii="Aptos" w:hAnsi="Aptos" w:cstheme="minorHAnsi"/>
                <w:b/>
                <w:bCs/>
                <w:color w:val="4E74A2"/>
                <w:sz w:val="20"/>
                <w:szCs w:val="20"/>
              </w:rPr>
              <w:t>Address</w:t>
            </w:r>
          </w:p>
          <w:p w:rsidR="00BB2466" w:rsidRPr="00640544" w:rsidRDefault="00BB2466" w:rsidP="00723D41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40544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123, Any Street, New York, NY 12456</w:t>
            </w:r>
          </w:p>
          <w:p w:rsidR="00BB2466" w:rsidRPr="00640544" w:rsidRDefault="00BB2466" w:rsidP="00DE7C7D">
            <w:pPr>
              <w:spacing w:before="40" w:line="276" w:lineRule="auto"/>
              <w:rPr>
                <w:rFonts w:ascii="Aptos" w:hAnsi="Aptos" w:cstheme="minorHAnsi"/>
                <w:color w:val="4E74A2"/>
                <w:sz w:val="20"/>
                <w:szCs w:val="20"/>
              </w:rPr>
            </w:pPr>
            <w:r w:rsidRPr="00640544">
              <w:rPr>
                <w:rFonts w:ascii="Aptos" w:hAnsi="Aptos" w:cstheme="minorHAnsi"/>
                <w:b/>
                <w:bCs/>
                <w:color w:val="4E74A2"/>
                <w:sz w:val="20"/>
                <w:szCs w:val="20"/>
              </w:rPr>
              <w:t>Phone</w:t>
            </w:r>
          </w:p>
          <w:p w:rsidR="00BB2466" w:rsidRPr="00640544" w:rsidRDefault="00BB2466" w:rsidP="00723D41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40544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123-456-7890</w:t>
            </w:r>
          </w:p>
          <w:p w:rsidR="00BB2466" w:rsidRPr="00640544" w:rsidRDefault="00BB2466" w:rsidP="00DE7C7D">
            <w:pPr>
              <w:spacing w:before="40" w:line="276" w:lineRule="auto"/>
              <w:rPr>
                <w:rFonts w:ascii="Aptos" w:hAnsi="Aptos" w:cstheme="minorHAnsi"/>
                <w:color w:val="4E74A2"/>
                <w:sz w:val="20"/>
                <w:szCs w:val="20"/>
              </w:rPr>
            </w:pPr>
            <w:r w:rsidRPr="00640544">
              <w:rPr>
                <w:rFonts w:ascii="Aptos" w:hAnsi="Aptos" w:cstheme="minorHAnsi"/>
                <w:b/>
                <w:bCs/>
                <w:color w:val="4E74A2"/>
                <w:sz w:val="20"/>
                <w:szCs w:val="20"/>
              </w:rPr>
              <w:t>Email</w:t>
            </w:r>
          </w:p>
          <w:p w:rsidR="00BB2466" w:rsidRPr="00640544" w:rsidRDefault="00173300" w:rsidP="00723D41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lorraine.chavez</w:t>
            </w:r>
            <w:r w:rsidR="00BB2466" w:rsidRPr="00640544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@email.com</w:t>
            </w:r>
          </w:p>
          <w:p w:rsidR="000B0DB3" w:rsidRPr="00193B36" w:rsidRDefault="00F523B5" w:rsidP="0065226A">
            <w:pP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 w:rsidRPr="00193B36"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SKILLS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Patient Assessment &amp; Care Planning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IV Therapy &amp; Medication Administration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Critical Care &amp; Emergency Response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Electronic Health Records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Wound Care Management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Patient &amp; Family Education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Infection Control &amp; Safety Compliance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Interdisciplinary Team Collaboration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Emotional Intelligence &amp; Empathy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Time Management &amp; Prioritization</w:t>
            </w:r>
          </w:p>
          <w:p w:rsidR="00976D68" w:rsidRPr="00426A3D" w:rsidRDefault="00976D68" w:rsidP="00976D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26A3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Leadership &amp; Staff Mentorship</w:t>
            </w:r>
          </w:p>
          <w:p w:rsidR="00167733" w:rsidRPr="00193B36" w:rsidRDefault="00FD2EC3" w:rsidP="0065226A">
            <w:pP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CERTIFICATES</w:t>
            </w:r>
          </w:p>
          <w:p w:rsidR="00114C33" w:rsidRPr="00E70081" w:rsidRDefault="00114C33" w:rsidP="00114C33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70081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Registered Nurse (RN) – Texas Board of Nursing</w:t>
            </w:r>
          </w:p>
          <w:p w:rsidR="00114C33" w:rsidRPr="00E70081" w:rsidRDefault="00114C33" w:rsidP="00114C33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70081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Basic Life Support (BLS) – American Heart Association</w:t>
            </w:r>
          </w:p>
          <w:p w:rsidR="00114C33" w:rsidRPr="00E70081" w:rsidRDefault="00114C33" w:rsidP="00114C33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70081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Advanced Cardiovascular Life Support (ACLS) – American Heart Association</w:t>
            </w:r>
          </w:p>
          <w:p w:rsidR="002B2F2F" w:rsidRDefault="00114C33" w:rsidP="00555AF3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70081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Critical Care Registered Nurse (CCRN) Certification</w:t>
            </w:r>
          </w:p>
          <w:p w:rsidR="00B053FA" w:rsidRPr="00193B36" w:rsidRDefault="004D4E29" w:rsidP="0065226A">
            <w:pP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HOBBIES &amp; INTERESTS</w:t>
            </w:r>
          </w:p>
          <w:p w:rsidR="004D4E29" w:rsidRPr="004D4E29" w:rsidRDefault="004D4E29" w:rsidP="004D4E29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D4E2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Volunteering at community health f</w:t>
            </w: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airs</w:t>
            </w:r>
          </w:p>
          <w:p w:rsidR="004D4E29" w:rsidRPr="004D4E29" w:rsidRDefault="004D4E29" w:rsidP="004D4E29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Fitness and wellness coaching</w:t>
            </w:r>
          </w:p>
          <w:p w:rsidR="004D4E29" w:rsidRPr="004D4E29" w:rsidRDefault="004D4E29" w:rsidP="004D4E29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D4E2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Reading me</w:t>
            </w: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dical journals and case studies</w:t>
            </w:r>
          </w:p>
          <w:p w:rsidR="00B053FA" w:rsidRPr="006424E1" w:rsidRDefault="004D4E29" w:rsidP="004D4E29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4D4E2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Gardening for relaxation</w:t>
            </w:r>
          </w:p>
        </w:tc>
        <w:tc>
          <w:tcPr>
            <w:tcW w:w="284" w:type="dxa"/>
            <w:tcBorders>
              <w:left w:val="single" w:sz="8" w:space="0" w:color="4E74A2"/>
            </w:tcBorders>
          </w:tcPr>
          <w:p w:rsidR="002B2F2F" w:rsidRPr="002F295F" w:rsidRDefault="002B2F2F">
            <w:pPr>
              <w:rPr>
                <w:rFonts w:ascii="Aptos" w:hAnsi="Aptos"/>
              </w:rPr>
            </w:pPr>
          </w:p>
        </w:tc>
        <w:tc>
          <w:tcPr>
            <w:tcW w:w="6701" w:type="dxa"/>
          </w:tcPr>
          <w:p w:rsidR="00F951D4" w:rsidRPr="00193B36" w:rsidRDefault="00F951D4" w:rsidP="00CD18A0">
            <w:pPr>
              <w:pBdr>
                <w:bottom w:val="single" w:sz="8" w:space="1" w:color="4E74A2"/>
              </w:pBdr>
              <w:spacing w:before="1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WORK HISTORY</w:t>
            </w:r>
          </w:p>
          <w:p w:rsidR="003B0C71" w:rsidRPr="00306245" w:rsidRDefault="00532D46" w:rsidP="00306245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Jan 20XX</w:t>
            </w:r>
            <w:r w:rsidR="003B0C71" w:rsidRPr="00306245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 xml:space="preserve"> – Present</w:t>
            </w:r>
          </w:p>
          <w:p w:rsidR="002C7AE5" w:rsidRPr="00937E55" w:rsidRDefault="002C7AE5" w:rsidP="00306245">
            <w:pPr>
              <w:spacing w:line="276" w:lineRule="auto"/>
              <w:rPr>
                <w:rFonts w:ascii="Aptos" w:hAnsi="Aptos" w:cstheme="minorHAnsi"/>
                <w:b/>
                <w:color w:val="404040" w:themeColor="text1" w:themeTint="BF"/>
                <w:sz w:val="20"/>
                <w:szCs w:val="20"/>
              </w:rPr>
            </w:pPr>
            <w:r w:rsidRPr="00937E55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Senior Registered Nurse – Baylor </w:t>
            </w:r>
            <w:r w:rsidR="00306245" w:rsidRPr="00937E55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Medical </w:t>
            </w:r>
            <w:proofErr w:type="spellStart"/>
            <w:r w:rsidR="00306245" w:rsidRPr="00937E55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Center</w:t>
            </w:r>
            <w:proofErr w:type="spellEnd"/>
            <w:r w:rsidR="00306245" w:rsidRPr="00937E55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, Dallas, TX</w:t>
            </w:r>
          </w:p>
          <w:p w:rsidR="002C7AE5" w:rsidRPr="0062000F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Led a 12-member nursing team in a 30-bed ICU, improving patient discharge readiness time by 20%.</w:t>
            </w:r>
          </w:p>
          <w:p w:rsidR="002C7AE5" w:rsidRPr="0062000F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Delivered comprehensive patient assessments and individualized care plans, reducing readmission rates by 12%.</w:t>
            </w:r>
          </w:p>
          <w:p w:rsidR="002C7AE5" w:rsidRPr="0062000F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Administered medications and managed IV therapies in compliance with hospital protocols and physician directives.</w:t>
            </w:r>
          </w:p>
          <w:p w:rsidR="002C7AE5" w:rsidRPr="0062000F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Implemented evidence-based wound care procedures, achieving 98% healing rate in chronic wound patients.</w:t>
            </w:r>
          </w:p>
          <w:p w:rsidR="002C7AE5" w:rsidRPr="0062000F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Coordinated with multidisciplinary teams to streamline patient care transitions and improve continuity.</w:t>
            </w:r>
          </w:p>
          <w:p w:rsidR="002C7AE5" w:rsidRDefault="002C7AE5" w:rsidP="0062000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62000F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Managed patient emergencies, including code blue situations, with a 100% compliance rate in response protocols.</w:t>
            </w:r>
          </w:p>
          <w:p w:rsidR="00E82787" w:rsidRPr="0062000F" w:rsidRDefault="00E82787" w:rsidP="00E8278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82787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Enhanced EHR documentation accuracy, leading to a 15% improvement in billing and compliance audits.</w:t>
            </w:r>
          </w:p>
          <w:p w:rsidR="00847D3C" w:rsidRDefault="00CE471D" w:rsidP="00023CE0">
            <w:pPr>
              <w:spacing w:before="100"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Jun 20XX – Dec 20XX</w:t>
            </w:r>
          </w:p>
          <w:p w:rsidR="002C7AE5" w:rsidRPr="008F0043" w:rsidRDefault="002C7AE5" w:rsidP="00306245">
            <w:pPr>
              <w:spacing w:line="276" w:lineRule="auto"/>
              <w:rPr>
                <w:rFonts w:ascii="Aptos" w:hAnsi="Aptos" w:cstheme="minorHAnsi"/>
                <w:b/>
                <w:color w:val="404040" w:themeColor="text1" w:themeTint="BF"/>
                <w:sz w:val="20"/>
                <w:szCs w:val="20"/>
              </w:rPr>
            </w:pPr>
            <w:r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Registered</w:t>
            </w:r>
            <w:r w:rsidR="008F0043"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 Nurse – </w:t>
            </w:r>
            <w:r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Methodist Da</w:t>
            </w:r>
            <w:r w:rsidR="00847D3C"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llas Medical </w:t>
            </w:r>
            <w:proofErr w:type="spellStart"/>
            <w:r w:rsidR="00847D3C"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Center</w:t>
            </w:r>
            <w:proofErr w:type="spellEnd"/>
            <w:r w:rsidR="00847D3C" w:rsidRPr="008F0043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, Dallas, TX</w:t>
            </w:r>
          </w:p>
          <w:p w:rsidR="002C7AE5" w:rsidRPr="00BF38A9" w:rsidRDefault="002C7AE5" w:rsidP="00BF38A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BF38A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Provided critical care to patients with life-threatening conditions, ensuring a 98% patient satisfaction rating.</w:t>
            </w:r>
          </w:p>
          <w:p w:rsidR="002C7AE5" w:rsidRPr="00BF38A9" w:rsidRDefault="002C7AE5" w:rsidP="00BF38A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BF38A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Monitored patient vitals and administered complex medication regimens, reducing adverse reaction incidents.</w:t>
            </w:r>
          </w:p>
          <w:p w:rsidR="002C7AE5" w:rsidRPr="00BF38A9" w:rsidRDefault="002C7AE5" w:rsidP="00BF38A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BF38A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Developed patient education materials to improve compliance with post-discharge instructions.</w:t>
            </w:r>
          </w:p>
          <w:p w:rsidR="002C7AE5" w:rsidRPr="00BF38A9" w:rsidRDefault="002C7AE5" w:rsidP="00BF38A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BF38A9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Collaborated with physicians and specialists to coordinate care for complex cases.</w:t>
            </w:r>
          </w:p>
          <w:p w:rsidR="00020A68" w:rsidRDefault="00EE3317" w:rsidP="00A33CC1">
            <w:pPr>
              <w:spacing w:before="100"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Aug 20XX – May 20XX</w:t>
            </w:r>
          </w:p>
          <w:p w:rsidR="002C7AE5" w:rsidRPr="00A33CC1" w:rsidRDefault="002C7AE5" w:rsidP="00306245">
            <w:pPr>
              <w:spacing w:line="276" w:lineRule="auto"/>
              <w:rPr>
                <w:rFonts w:ascii="Aptos" w:hAnsi="Aptos" w:cstheme="minorHAnsi"/>
                <w:b/>
                <w:color w:val="404040" w:themeColor="text1" w:themeTint="BF"/>
                <w:sz w:val="20"/>
                <w:szCs w:val="20"/>
              </w:rPr>
            </w:pPr>
            <w:r w:rsidRPr="00A33CC1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Registered Nurse –</w:t>
            </w:r>
            <w:r w:rsidR="002B0C3A" w:rsidRPr="00A33CC1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 </w:t>
            </w:r>
            <w:r w:rsidRPr="00A33CC1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 xml:space="preserve">Parkland Health &amp; </w:t>
            </w:r>
            <w:r w:rsidR="00020A68" w:rsidRPr="00A33CC1">
              <w:rPr>
                <w:rFonts w:ascii="Aptos" w:hAnsi="Aptos" w:cstheme="minorHAnsi"/>
                <w:b/>
                <w:color w:val="4E74A2"/>
                <w:sz w:val="20"/>
                <w:szCs w:val="20"/>
              </w:rPr>
              <w:t>Hospital System, Dallas, TX</w:t>
            </w:r>
          </w:p>
          <w:p w:rsidR="002C7AE5" w:rsidRPr="00E572BD" w:rsidRDefault="002C7AE5" w:rsidP="00E572B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572B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Delivered high-quality care to an average of 15 patients per shift in a fast-paced medical-surgical unit.</w:t>
            </w:r>
          </w:p>
          <w:p w:rsidR="002C7AE5" w:rsidRPr="00E572BD" w:rsidRDefault="002C7AE5" w:rsidP="00E572B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572B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Administered medications, monitored recovery, and documented progress in compliance with HIPAA.</w:t>
            </w:r>
          </w:p>
          <w:p w:rsidR="002B2F2F" w:rsidRDefault="002C7AE5" w:rsidP="00171CB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E572BD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Provided post-operative wound care, achieving above-average recovery rates.</w:t>
            </w:r>
          </w:p>
          <w:p w:rsidR="00EA1696" w:rsidRPr="00193B36" w:rsidRDefault="007D2203" w:rsidP="00ED35CA">
            <w:pPr>
              <w:pBdr>
                <w:bottom w:val="single" w:sz="8" w:space="1" w:color="4E74A2"/>
              </w:pBdr>
              <w:spacing w:before="200" w:after="100"/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</w:pPr>
            <w:r>
              <w:rPr>
                <w:rFonts w:ascii="Aptos" w:hAnsi="Aptos"/>
                <w:b/>
                <w:color w:val="4E74A2"/>
                <w:spacing w:val="40"/>
                <w:sz w:val="24"/>
                <w:szCs w:val="24"/>
              </w:rPr>
              <w:t>EDUCATION</w:t>
            </w:r>
          </w:p>
          <w:p w:rsidR="003D6F64" w:rsidRDefault="003E40D7" w:rsidP="003E40D7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3E40D7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Maste</w:t>
            </w:r>
            <w:r w:rsidR="003D6F64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r of Science in Nursing (MSN)</w:t>
            </w:r>
          </w:p>
          <w:p w:rsidR="003E40D7" w:rsidRPr="003E40D7" w:rsidRDefault="003E40D7" w:rsidP="003E40D7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3E40D7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University of Texas at Arlington, Arlington, TX – 2018</w:t>
            </w:r>
          </w:p>
          <w:p w:rsidR="003D6F64" w:rsidRDefault="003E40D7" w:rsidP="00673359">
            <w:pPr>
              <w:spacing w:before="100"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3E40D7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Bachelo</w:t>
            </w:r>
            <w:r w:rsidR="003D6F64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r of Science in Nursing (BSN)</w:t>
            </w:r>
          </w:p>
          <w:p w:rsidR="00EA1696" w:rsidRPr="00EA1696" w:rsidRDefault="003E40D7" w:rsidP="003E40D7">
            <w:pPr>
              <w:spacing w:line="276" w:lineRule="auto"/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</w:pPr>
            <w:r w:rsidRPr="003E40D7">
              <w:rPr>
                <w:rFonts w:ascii="Aptos" w:hAnsi="Aptos" w:cstheme="minorHAnsi"/>
                <w:color w:val="404040" w:themeColor="text1" w:themeTint="BF"/>
                <w:sz w:val="20"/>
                <w:szCs w:val="20"/>
              </w:rPr>
              <w:t>Texas Woman’s University, Denton, TX – 2012</w:t>
            </w:r>
          </w:p>
        </w:tc>
      </w:tr>
    </w:tbl>
    <w:p w:rsidR="00E24705" w:rsidRPr="00A52328" w:rsidRDefault="00E24705">
      <w:pPr>
        <w:rPr>
          <w:sz w:val="2"/>
          <w:szCs w:val="2"/>
        </w:rPr>
      </w:pPr>
    </w:p>
    <w:sectPr w:rsidR="00E24705" w:rsidRPr="00A52328" w:rsidSect="00A83AF9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5FD"/>
    <w:multiLevelType w:val="hybridMultilevel"/>
    <w:tmpl w:val="22EE7F5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531E20"/>
    <w:multiLevelType w:val="hybridMultilevel"/>
    <w:tmpl w:val="CAE8B7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851A0"/>
    <w:multiLevelType w:val="hybridMultilevel"/>
    <w:tmpl w:val="595A384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F014BD"/>
    <w:multiLevelType w:val="hybridMultilevel"/>
    <w:tmpl w:val="AF9A2EB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D"/>
    <w:rsid w:val="00020A68"/>
    <w:rsid w:val="00023CE0"/>
    <w:rsid w:val="000B0DB3"/>
    <w:rsid w:val="000D73BF"/>
    <w:rsid w:val="00102413"/>
    <w:rsid w:val="00114C33"/>
    <w:rsid w:val="00144945"/>
    <w:rsid w:val="001518AD"/>
    <w:rsid w:val="00167733"/>
    <w:rsid w:val="00171CB5"/>
    <w:rsid w:val="00173300"/>
    <w:rsid w:val="00193B36"/>
    <w:rsid w:val="001B6E47"/>
    <w:rsid w:val="0023325D"/>
    <w:rsid w:val="002A58BE"/>
    <w:rsid w:val="002B0C3A"/>
    <w:rsid w:val="002B2F2F"/>
    <w:rsid w:val="002C7AE5"/>
    <w:rsid w:val="002D2CFD"/>
    <w:rsid w:val="002F295F"/>
    <w:rsid w:val="00306245"/>
    <w:rsid w:val="00321FDA"/>
    <w:rsid w:val="00331C8B"/>
    <w:rsid w:val="00365A22"/>
    <w:rsid w:val="00367BFE"/>
    <w:rsid w:val="003B0C71"/>
    <w:rsid w:val="003D6F64"/>
    <w:rsid w:val="003E40D7"/>
    <w:rsid w:val="00411A3E"/>
    <w:rsid w:val="00426A3D"/>
    <w:rsid w:val="0045267B"/>
    <w:rsid w:val="00456E8B"/>
    <w:rsid w:val="00474164"/>
    <w:rsid w:val="004818FE"/>
    <w:rsid w:val="004A7398"/>
    <w:rsid w:val="004D4E29"/>
    <w:rsid w:val="00532D46"/>
    <w:rsid w:val="00555AF3"/>
    <w:rsid w:val="005F661C"/>
    <w:rsid w:val="0062000F"/>
    <w:rsid w:val="00620E9A"/>
    <w:rsid w:val="00637E45"/>
    <w:rsid w:val="00640544"/>
    <w:rsid w:val="006424E1"/>
    <w:rsid w:val="0065226A"/>
    <w:rsid w:val="00673359"/>
    <w:rsid w:val="00695709"/>
    <w:rsid w:val="00723D41"/>
    <w:rsid w:val="0074038D"/>
    <w:rsid w:val="00780F4A"/>
    <w:rsid w:val="007B7C83"/>
    <w:rsid w:val="007D2203"/>
    <w:rsid w:val="007F3010"/>
    <w:rsid w:val="007F4406"/>
    <w:rsid w:val="0083595B"/>
    <w:rsid w:val="00847D3C"/>
    <w:rsid w:val="008A4492"/>
    <w:rsid w:val="008F0043"/>
    <w:rsid w:val="009051FE"/>
    <w:rsid w:val="00937E55"/>
    <w:rsid w:val="009558EA"/>
    <w:rsid w:val="00960985"/>
    <w:rsid w:val="00976D68"/>
    <w:rsid w:val="009B0969"/>
    <w:rsid w:val="009B0BC1"/>
    <w:rsid w:val="009B2967"/>
    <w:rsid w:val="00A33CC1"/>
    <w:rsid w:val="00A52328"/>
    <w:rsid w:val="00A83AF9"/>
    <w:rsid w:val="00AA00C9"/>
    <w:rsid w:val="00B053FA"/>
    <w:rsid w:val="00B20BE0"/>
    <w:rsid w:val="00B35EBB"/>
    <w:rsid w:val="00B93728"/>
    <w:rsid w:val="00BB2466"/>
    <w:rsid w:val="00BF38A9"/>
    <w:rsid w:val="00C1061C"/>
    <w:rsid w:val="00CD18A0"/>
    <w:rsid w:val="00CE471D"/>
    <w:rsid w:val="00CF3E03"/>
    <w:rsid w:val="00D427CF"/>
    <w:rsid w:val="00D85BB2"/>
    <w:rsid w:val="00DC6E5F"/>
    <w:rsid w:val="00DE0E7F"/>
    <w:rsid w:val="00DE7C7D"/>
    <w:rsid w:val="00E24705"/>
    <w:rsid w:val="00E572BD"/>
    <w:rsid w:val="00E70081"/>
    <w:rsid w:val="00E82787"/>
    <w:rsid w:val="00EA1696"/>
    <w:rsid w:val="00ED1350"/>
    <w:rsid w:val="00ED35CA"/>
    <w:rsid w:val="00ED54CC"/>
    <w:rsid w:val="00EE18D9"/>
    <w:rsid w:val="00EE3317"/>
    <w:rsid w:val="00F06635"/>
    <w:rsid w:val="00F107AB"/>
    <w:rsid w:val="00F523B5"/>
    <w:rsid w:val="00F951D4"/>
    <w:rsid w:val="00FD2EC3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360E5-EA3D-475D-A17B-530E71F6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2025-08-08T08:43:00Z</cp:lastPrinted>
  <dcterms:created xsi:type="dcterms:W3CDTF">2025-08-08T08:11:00Z</dcterms:created>
  <dcterms:modified xsi:type="dcterms:W3CDTF">2025-11-07T11:31:00Z</dcterms:modified>
</cp:coreProperties>
</file>